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13" w:rsidRDefault="00317013" w:rsidP="00704C07">
      <w:pPr>
        <w:jc w:val="center"/>
      </w:pPr>
      <w:r w:rsidRPr="0060541C">
        <w:rPr>
          <w:u w:val="single"/>
        </w:rPr>
        <w:t>Comunicato stampa</w:t>
      </w:r>
      <w:r>
        <w:rPr>
          <w:u w:val="single"/>
        </w:rPr>
        <w:br/>
      </w:r>
      <w:r w:rsidRPr="0060541C">
        <w:rPr>
          <w:u w:val="single"/>
        </w:rPr>
        <w:br/>
      </w:r>
      <w:r w:rsidRPr="00F82FCC">
        <w:rPr>
          <w:b/>
          <w:sz w:val="24"/>
        </w:rPr>
        <w:t>400mila euro per 60 nuovi progetti: gli esiti dei primi bandi 2024</w:t>
      </w:r>
      <w:r w:rsidR="00F82FCC" w:rsidRPr="00F82FCC">
        <w:rPr>
          <w:b/>
          <w:sz w:val="24"/>
        </w:rPr>
        <w:br/>
      </w:r>
      <w:r w:rsidR="00E53BC2">
        <w:rPr>
          <w:b/>
        </w:rPr>
        <w:t>Incrementato del 23</w:t>
      </w:r>
      <w:r w:rsidR="00F82FCC">
        <w:rPr>
          <w:b/>
        </w:rPr>
        <w:t xml:space="preserve">% </w:t>
      </w:r>
      <w:r w:rsidR="00F82FCC" w:rsidRPr="00F82FCC">
        <w:rPr>
          <w:b/>
        </w:rPr>
        <w:t>lo sta</w:t>
      </w:r>
      <w:r w:rsidR="00E53BC2">
        <w:rPr>
          <w:b/>
        </w:rPr>
        <w:t>nziamento complessivo a sostegno dei progetti</w:t>
      </w:r>
    </w:p>
    <w:p w:rsidR="00317013" w:rsidRDefault="00317013"/>
    <w:p w:rsidR="00F82FCC" w:rsidRDefault="00F82FCC" w:rsidP="00704C07">
      <w:pPr>
        <w:spacing w:line="240" w:lineRule="auto"/>
        <w:jc w:val="both"/>
      </w:pPr>
      <w:r>
        <w:rPr>
          <w:i/>
        </w:rPr>
        <w:t>Monza, 27</w:t>
      </w:r>
      <w:r w:rsidR="00317013" w:rsidRPr="00EF1A45">
        <w:rPr>
          <w:i/>
        </w:rPr>
        <w:t xml:space="preserve"> giugno 2024</w:t>
      </w:r>
      <w:r w:rsidR="00317013">
        <w:t xml:space="preserve"> - “</w:t>
      </w:r>
      <w:r w:rsidR="00317013" w:rsidRPr="00EF1A45">
        <w:rPr>
          <w:b/>
        </w:rPr>
        <w:t xml:space="preserve">Youth </w:t>
      </w:r>
      <w:proofErr w:type="spellStart"/>
      <w:r w:rsidR="00317013" w:rsidRPr="00EF1A45">
        <w:rPr>
          <w:b/>
        </w:rPr>
        <w:t>Bank</w:t>
      </w:r>
      <w:proofErr w:type="spellEnd"/>
      <w:r w:rsidR="00317013" w:rsidRPr="00EF1A45">
        <w:rPr>
          <w:b/>
        </w:rPr>
        <w:t xml:space="preserve">. L’arco ai </w:t>
      </w:r>
      <w:proofErr w:type="gramStart"/>
      <w:r w:rsidR="00317013" w:rsidRPr="00EF1A45">
        <w:rPr>
          <w:b/>
        </w:rPr>
        <w:t>giovani</w:t>
      </w:r>
      <w:r w:rsidR="00317013" w:rsidRPr="00317013">
        <w:t>“</w:t>
      </w:r>
      <w:proofErr w:type="gramEnd"/>
      <w:r w:rsidR="00317013" w:rsidRPr="00317013">
        <w:t>, “</w:t>
      </w:r>
      <w:r w:rsidR="00317013" w:rsidRPr="00EF1A45">
        <w:rPr>
          <w:b/>
        </w:rPr>
        <w:t>Educare con gli oratori</w:t>
      </w:r>
      <w:r w:rsidR="00317013" w:rsidRPr="00317013">
        <w:t>“, “</w:t>
      </w:r>
      <w:r w:rsidR="00317013" w:rsidRPr="00EF1A45">
        <w:rPr>
          <w:b/>
        </w:rPr>
        <w:t>Giovani generazioni</w:t>
      </w:r>
      <w:r w:rsidR="00EF1A45">
        <w:t>” e “</w:t>
      </w:r>
      <w:r w:rsidR="00EF1A45" w:rsidRPr="00EF1A45">
        <w:rPr>
          <w:b/>
        </w:rPr>
        <w:t>Cultura per tutti</w:t>
      </w:r>
      <w:r w:rsidR="00EF1A45">
        <w:t>”</w:t>
      </w:r>
      <w:r w:rsidR="00317013" w:rsidRPr="00317013">
        <w:t xml:space="preserve">: arriva il sostegno per </w:t>
      </w:r>
      <w:r w:rsidR="00317013" w:rsidRPr="00EF1A45">
        <w:rPr>
          <w:b/>
        </w:rPr>
        <w:t>60 nuove progettualità</w:t>
      </w:r>
      <w:r w:rsidR="00317013" w:rsidRPr="00317013">
        <w:t xml:space="preserve"> proposte dalle organizzazioni senza finalità di lucro del territorio che hanno partecipato ai bandi 2024.1, 2024.2 (realizzato in partnership con Fondazione </w:t>
      </w:r>
      <w:proofErr w:type="spellStart"/>
      <w:r w:rsidR="00317013" w:rsidRPr="00317013">
        <w:t>Lambriana</w:t>
      </w:r>
      <w:proofErr w:type="spellEnd"/>
      <w:r w:rsidR="00317013" w:rsidRPr="00317013">
        <w:t>), 2024.5 e 2024.6 di Fondazione della C</w:t>
      </w:r>
      <w:r w:rsidR="00317013">
        <w:t xml:space="preserve">omunità di Monza e Brianza. Uno </w:t>
      </w:r>
      <w:r w:rsidR="00317013" w:rsidRPr="00EF1A45">
        <w:rPr>
          <w:b/>
        </w:rPr>
        <w:t>stanziamento complessivo di 400.100 euro</w:t>
      </w:r>
      <w:r w:rsidR="00317013" w:rsidRPr="00317013">
        <w:t xml:space="preserve"> quello definito nei giorni scorsi dal Consiglio di</w:t>
      </w:r>
      <w:r w:rsidR="00EF1A45">
        <w:t xml:space="preserve"> </w:t>
      </w:r>
      <w:r w:rsidR="00317013" w:rsidRPr="00317013">
        <w:t xml:space="preserve">Amministrazione di Fondazione MB, derivante da fondi territoriali di </w:t>
      </w:r>
      <w:r w:rsidR="00317013" w:rsidRPr="00EF1A45">
        <w:rPr>
          <w:b/>
        </w:rPr>
        <w:t>Fondazione Cariplo</w:t>
      </w:r>
      <w:r w:rsidR="00317013" w:rsidRPr="00317013">
        <w:t>, da risorse proprie di Fondazione MB e dalle disponibilità di fondi costituiti presso la Fondazione MB.</w:t>
      </w:r>
    </w:p>
    <w:p w:rsidR="00E53BC2" w:rsidRDefault="00F82FCC" w:rsidP="00704C07">
      <w:pPr>
        <w:spacing w:line="240" w:lineRule="auto"/>
        <w:jc w:val="both"/>
      </w:pPr>
      <w:r w:rsidRPr="00F82FCC">
        <w:t xml:space="preserve">“Lucidità, concretezza, competenza e professionalità: in risposta ai primi bandi 2024, il Terzo settore del territorio ha messo a punto un ventaglio di progettualità specifiche e mirate, segno della sua reale capacità di intercettare le situazioni più a rischio e di intervenire per cercare di porvi rimedio. I progetti che hanno proposto a Fondazione MB </w:t>
      </w:r>
      <w:r>
        <w:t>-</w:t>
      </w:r>
      <w:r w:rsidRPr="00F82FCC">
        <w:t xml:space="preserve"> </w:t>
      </w:r>
      <w:r w:rsidRPr="00F82FCC">
        <w:rPr>
          <w:i/>
        </w:rPr>
        <w:t xml:space="preserve">spiega il vicepresidente </w:t>
      </w:r>
      <w:r w:rsidRPr="00F82FCC">
        <w:rPr>
          <w:b/>
          <w:i/>
        </w:rPr>
        <w:t>Luigi Losa</w:t>
      </w:r>
      <w:r w:rsidRPr="00F82FCC">
        <w:t xml:space="preserve"> </w:t>
      </w:r>
      <w:r>
        <w:t>-</w:t>
      </w:r>
      <w:r w:rsidRPr="00F82FCC">
        <w:t xml:space="preserve"> raccontano una storia di presenza e di cura, di attenzione e di lungimiranza che in questo particolare periodo storico mette al primo posto i nostri bambini e i nostri ragazzi, che continuano ad avere bisogno di punti di riferimento. Proprio per questo motivo </w:t>
      </w:r>
      <w:r w:rsidR="00704C07">
        <w:t>Fondazione</w:t>
      </w:r>
      <w:r w:rsidR="00E53BC2">
        <w:t xml:space="preserve"> ha deciso di increme</w:t>
      </w:r>
      <w:r w:rsidR="001111DF">
        <w:t xml:space="preserve">ntare gli stanziamenti previsti, così da </w:t>
      </w:r>
      <w:r w:rsidR="00E53BC2">
        <w:t>riuscire a sostenere un numero di maggiore di iniziative</w:t>
      </w:r>
      <w:r w:rsidR="00E53BC2" w:rsidRPr="001111DF">
        <w:t>:</w:t>
      </w:r>
      <w:r w:rsidR="00E53BC2" w:rsidRPr="00E53BC2">
        <w:rPr>
          <w:b/>
        </w:rPr>
        <w:t xml:space="preserve"> l’aumento è stato complessivamente pari al</w:t>
      </w:r>
      <w:r w:rsidR="00FD3D9E">
        <w:rPr>
          <w:b/>
        </w:rPr>
        <w:t xml:space="preserve"> 23% rispetto al budget inizialmente previsto</w:t>
      </w:r>
      <w:bookmarkStart w:id="0" w:name="_GoBack"/>
      <w:bookmarkEnd w:id="0"/>
      <w:r w:rsidR="00E53BC2">
        <w:t>”.</w:t>
      </w:r>
    </w:p>
    <w:p w:rsidR="00704C07" w:rsidRDefault="00704C07" w:rsidP="00704C07">
      <w:pPr>
        <w:spacing w:line="240" w:lineRule="auto"/>
        <w:jc w:val="both"/>
        <w:rPr>
          <w:rFonts w:ascii="Calibri" w:hAnsi="Calibri"/>
          <w:bCs/>
          <w:color w:val="000000"/>
        </w:rPr>
      </w:pPr>
      <w:r w:rsidRPr="00704C07">
        <w:rPr>
          <w:rFonts w:ascii="Calibri" w:hAnsi="Calibri"/>
          <w:b/>
          <w:bCs/>
          <w:color w:val="000000"/>
        </w:rPr>
        <w:t>La raccolta fondi</w:t>
      </w:r>
      <w:r w:rsidR="001456C4">
        <w:rPr>
          <w:rFonts w:ascii="Calibri" w:hAnsi="Calibri"/>
          <w:bCs/>
          <w:color w:val="000000"/>
        </w:rPr>
        <w:t xml:space="preserve">. Ora per le organizzazioni senza finalità di lucro </w:t>
      </w:r>
      <w:r>
        <w:rPr>
          <w:rFonts w:ascii="Calibri" w:hAnsi="Calibri"/>
          <w:bCs/>
          <w:color w:val="000000"/>
        </w:rPr>
        <w:t xml:space="preserve">scatta il cronometro per raccogliere le donazioni a favore dei progetti. </w:t>
      </w:r>
      <w:r w:rsidRPr="00264528">
        <w:rPr>
          <w:rFonts w:ascii="Calibri" w:hAnsi="Calibri"/>
          <w:bCs/>
          <w:color w:val="000000"/>
        </w:rPr>
        <w:t>Riceveranno infatti conferma del contributo le iniziative che riusciranno a raccogliere da parte di individui, imprese, enti pubblici e privati, donazioni pari al 20% del contributo stanziato dalla Fondazione</w:t>
      </w:r>
      <w:r>
        <w:rPr>
          <w:rFonts w:ascii="Calibri" w:hAnsi="Calibri"/>
          <w:bCs/>
          <w:color w:val="000000"/>
        </w:rPr>
        <w:t xml:space="preserve"> per i bandi “Educare con gli oratori”, “Giovani generazioni” </w:t>
      </w:r>
      <w:proofErr w:type="gramStart"/>
      <w:r>
        <w:rPr>
          <w:rFonts w:ascii="Calibri" w:hAnsi="Calibri"/>
          <w:bCs/>
          <w:color w:val="000000"/>
        </w:rPr>
        <w:t>e “</w:t>
      </w:r>
      <w:proofErr w:type="gramEnd"/>
      <w:r>
        <w:rPr>
          <w:rFonts w:ascii="Calibri" w:hAnsi="Calibri"/>
          <w:bCs/>
          <w:color w:val="000000"/>
        </w:rPr>
        <w:t xml:space="preserve">Cultura per tutti”, e pari al 10% per “Youth </w:t>
      </w:r>
      <w:proofErr w:type="spellStart"/>
      <w:r>
        <w:rPr>
          <w:rFonts w:ascii="Calibri" w:hAnsi="Calibri"/>
          <w:bCs/>
          <w:color w:val="000000"/>
        </w:rPr>
        <w:t>Bank</w:t>
      </w:r>
      <w:proofErr w:type="spellEnd"/>
      <w:r>
        <w:rPr>
          <w:rFonts w:ascii="Calibri" w:hAnsi="Calibri"/>
          <w:bCs/>
          <w:color w:val="000000"/>
        </w:rPr>
        <w:t xml:space="preserve">. L’arco ai giovani”: gli importi saranno destinati interamente </w:t>
      </w:r>
      <w:r>
        <w:rPr>
          <w:rFonts w:ascii="Calibri" w:hAnsi="Calibri"/>
          <w:color w:val="000000"/>
        </w:rPr>
        <w:t>al progetto e liquidati</w:t>
      </w:r>
      <w:r w:rsidRPr="005B2EE1">
        <w:rPr>
          <w:rFonts w:ascii="Calibri" w:hAnsi="Calibri"/>
          <w:color w:val="000000"/>
        </w:rPr>
        <w:t xml:space="preserve"> all’organizzazione per la sua realizzazione. </w:t>
      </w:r>
      <w:r>
        <w:rPr>
          <w:rFonts w:ascii="Calibri" w:hAnsi="Calibri"/>
          <w:color w:val="000000"/>
        </w:rPr>
        <w:t xml:space="preserve">C’è tempo </w:t>
      </w:r>
      <w:r w:rsidRPr="003C1105">
        <w:rPr>
          <w:rFonts w:ascii="Calibri" w:hAnsi="Calibri"/>
          <w:b/>
          <w:color w:val="000000"/>
        </w:rPr>
        <w:t>fino al 29 novembre 2024</w:t>
      </w:r>
      <w:r>
        <w:rPr>
          <w:rFonts w:ascii="Calibri" w:hAnsi="Calibri"/>
          <w:color w:val="000000"/>
        </w:rPr>
        <w:t>.</w:t>
      </w:r>
    </w:p>
    <w:p w:rsidR="00704C07" w:rsidRDefault="00704C07" w:rsidP="00704C07">
      <w:pPr>
        <w:spacing w:line="240" w:lineRule="auto"/>
        <w:jc w:val="both"/>
      </w:pPr>
      <w:r w:rsidRPr="00704C07">
        <w:rPr>
          <w:b/>
        </w:rPr>
        <w:t>I progetti</w:t>
      </w:r>
      <w:r>
        <w:t xml:space="preserve">. Campus e oratori estivi, percorsi educativi, promozione del protagonismo giovanile, supporto scolastico e laboratori, orientamento e accompagnamento alla realizzazione del sé, attenzione al ben-essere e alla salute mentale sono alcuni dei filoni che caratterizzano le iniziative sostenute a favore delle generazioni più giovani attraverso i bandi “Youth </w:t>
      </w:r>
      <w:proofErr w:type="spellStart"/>
      <w:r>
        <w:t>Bank</w:t>
      </w:r>
      <w:proofErr w:type="spellEnd"/>
      <w:r>
        <w:t xml:space="preserve">. L’arco ai giovani”, “Educare con gli oratori” </w:t>
      </w:r>
      <w:proofErr w:type="gramStart"/>
      <w:r>
        <w:t>e “</w:t>
      </w:r>
      <w:proofErr w:type="gramEnd"/>
      <w:r>
        <w:t>Giovani generazioni”. Quanto alle attività culturali di “</w:t>
      </w:r>
      <w:r w:rsidRPr="00704C07">
        <w:t>Cultura per tutti”</w:t>
      </w:r>
      <w:r>
        <w:t xml:space="preserve"> il territorio si prepara ad accogliere una ricca stagione di concerti e festival, di rassegne artistiche e teatrali, di manifestazioni e di percorsi che propongono di favorire la socializzazione e la riscoperta del territorio, di promuovere l’abitudine alla lettura e di stimolare la riflessione su tematiche sociali con modalità innovative. Eccoli in dettaglio.</w:t>
      </w:r>
    </w:p>
    <w:p w:rsidR="00317013" w:rsidRPr="00F82FCC" w:rsidRDefault="00326BEB" w:rsidP="00704C07">
      <w:pPr>
        <w:spacing w:line="240" w:lineRule="auto"/>
        <w:jc w:val="both"/>
        <w:rPr>
          <w:rFonts w:ascii="Calibri" w:hAnsi="Calibri"/>
          <w:bCs/>
          <w:color w:val="000000"/>
        </w:rPr>
      </w:pPr>
      <w:hyperlink r:id="rId7" w:history="1">
        <w:r w:rsidR="00317013" w:rsidRPr="00F805DE">
          <w:rPr>
            <w:rStyle w:val="Collegamentoipertestuale"/>
            <w:b/>
            <w:color w:val="000000" w:themeColor="text1"/>
          </w:rPr>
          <w:t>BANDO 2024.1 | YOUTH BANK. L’ARCO AI GIOVANI</w:t>
        </w:r>
      </w:hyperlink>
    </w:p>
    <w:p w:rsidR="00317013" w:rsidRDefault="00317013" w:rsidP="00704C07">
      <w:pPr>
        <w:spacing w:line="240" w:lineRule="auto"/>
        <w:jc w:val="both"/>
      </w:pPr>
      <w:r w:rsidRPr="00317013">
        <w:t xml:space="preserve">La nuova edizione del bando Youth </w:t>
      </w:r>
      <w:proofErr w:type="spellStart"/>
      <w:r w:rsidRPr="00317013">
        <w:t>Bank</w:t>
      </w:r>
      <w:proofErr w:type="spellEnd"/>
      <w:r w:rsidRPr="00317013">
        <w:t xml:space="preserve"> “L’arco ai giovani” è stata messa a punto dai ragazzi impegnati nel percorso di formazione con la Fondazione MB, quest’anno organizzato con la collaborazione di Spazio Giovani Impresa Sociale. Tra le novità del percorso il coinvolgimento dei più giovani anche nella definizione dei progetti, strutturati grazie alla collaborazione degli enti di terzo settore del territorio. </w:t>
      </w:r>
      <w:r w:rsidRPr="00EF1A45">
        <w:rPr>
          <w:b/>
        </w:rPr>
        <w:t>Nove</w:t>
      </w:r>
      <w:r>
        <w:t xml:space="preserve"> i</w:t>
      </w:r>
      <w:r w:rsidRPr="00317013">
        <w:t xml:space="preserve"> </w:t>
      </w:r>
      <w:r w:rsidRPr="00EF1A45">
        <w:rPr>
          <w:b/>
        </w:rPr>
        <w:t>progetti</w:t>
      </w:r>
      <w:r>
        <w:t xml:space="preserve"> pronti a prendere il via</w:t>
      </w:r>
      <w:r w:rsidRPr="00317013">
        <w:t xml:space="preserve">, per uno stanziamento complessivo di </w:t>
      </w:r>
      <w:r w:rsidRPr="00EF1A45">
        <w:rPr>
          <w:b/>
        </w:rPr>
        <w:t>86.100 euro</w:t>
      </w:r>
      <w:r w:rsidRPr="00317013">
        <w:t xml:space="preserve">: </w:t>
      </w:r>
      <w:r>
        <w:t xml:space="preserve">in arrivo </w:t>
      </w:r>
      <w:r w:rsidRPr="00317013">
        <w:t xml:space="preserve">attività di </w:t>
      </w:r>
      <w:r w:rsidRPr="00F82FCC">
        <w:rPr>
          <w:i/>
        </w:rPr>
        <w:t>socializzazione</w:t>
      </w:r>
      <w:r w:rsidRPr="00317013">
        <w:t xml:space="preserve"> e di </w:t>
      </w:r>
      <w:r w:rsidRPr="00F82FCC">
        <w:rPr>
          <w:i/>
        </w:rPr>
        <w:t>aggregazione</w:t>
      </w:r>
      <w:r w:rsidRPr="00317013">
        <w:t xml:space="preserve">, </w:t>
      </w:r>
      <w:r w:rsidRPr="00F82FCC">
        <w:rPr>
          <w:i/>
        </w:rPr>
        <w:t>percorsi educativi</w:t>
      </w:r>
      <w:r w:rsidRPr="00317013">
        <w:t xml:space="preserve">, di </w:t>
      </w:r>
      <w:r w:rsidRPr="00F82FCC">
        <w:rPr>
          <w:i/>
        </w:rPr>
        <w:t>formazione</w:t>
      </w:r>
      <w:r w:rsidRPr="00317013">
        <w:t xml:space="preserve"> e di </w:t>
      </w:r>
      <w:r w:rsidRPr="00F82FCC">
        <w:rPr>
          <w:i/>
        </w:rPr>
        <w:t>orientamento</w:t>
      </w:r>
      <w:r w:rsidRPr="00317013">
        <w:t xml:space="preserve">, iniziative per la </w:t>
      </w:r>
      <w:r w:rsidRPr="00F82FCC">
        <w:rPr>
          <w:i/>
        </w:rPr>
        <w:t>valorizzazione</w:t>
      </w:r>
      <w:r w:rsidRPr="00317013">
        <w:t xml:space="preserve"> e l’animazione di </w:t>
      </w:r>
      <w:r w:rsidRPr="00F82FCC">
        <w:rPr>
          <w:i/>
        </w:rPr>
        <w:t xml:space="preserve">luoghi </w:t>
      </w:r>
      <w:r w:rsidRPr="00317013">
        <w:t xml:space="preserve">di comunità, percorsi di sensibilizzazione sulla </w:t>
      </w:r>
      <w:r w:rsidRPr="00F82FCC">
        <w:rPr>
          <w:i/>
        </w:rPr>
        <w:t>sostenibilità</w:t>
      </w:r>
      <w:r w:rsidRPr="00317013">
        <w:t xml:space="preserve"> </w:t>
      </w:r>
      <w:r w:rsidRPr="00F82FCC">
        <w:rPr>
          <w:i/>
        </w:rPr>
        <w:t>ambientale</w:t>
      </w:r>
      <w:r w:rsidRPr="00317013">
        <w:t>.</w:t>
      </w:r>
      <w:r w:rsidR="00F805DE">
        <w:t xml:space="preserve"> </w:t>
      </w:r>
      <w:hyperlink r:id="rId8" w:history="1">
        <w:r w:rsidR="00F805DE" w:rsidRPr="00F805DE">
          <w:rPr>
            <w:rStyle w:val="Collegamentoipertestuale"/>
            <w:color w:val="000000" w:themeColor="text1"/>
          </w:rPr>
          <w:t>Vai ai progetti</w:t>
        </w:r>
      </w:hyperlink>
      <w:r w:rsidR="00F805DE">
        <w:t>.</w:t>
      </w:r>
    </w:p>
    <w:p w:rsidR="00E53BC2" w:rsidRDefault="00E53BC2" w:rsidP="00704C07">
      <w:pPr>
        <w:spacing w:line="240" w:lineRule="auto"/>
        <w:jc w:val="both"/>
      </w:pPr>
    </w:p>
    <w:p w:rsidR="00317013" w:rsidRPr="00EF1A45" w:rsidRDefault="00326BEB" w:rsidP="00704C07">
      <w:pPr>
        <w:spacing w:line="240" w:lineRule="auto"/>
        <w:jc w:val="both"/>
        <w:rPr>
          <w:b/>
          <w:color w:val="000000" w:themeColor="text1"/>
        </w:rPr>
      </w:pPr>
      <w:hyperlink r:id="rId9" w:history="1">
        <w:r w:rsidR="00317013" w:rsidRPr="00EF1A45">
          <w:rPr>
            <w:rStyle w:val="Collegamentoipertestuale"/>
            <w:b/>
            <w:color w:val="000000" w:themeColor="text1"/>
          </w:rPr>
          <w:t>BANDO 2024.2 | EDUCARE CON GLI ORATORI</w:t>
        </w:r>
      </w:hyperlink>
    </w:p>
    <w:p w:rsidR="00F805DE" w:rsidRPr="00EF1A45" w:rsidRDefault="00F805DE" w:rsidP="00704C07">
      <w:pPr>
        <w:spacing w:line="240" w:lineRule="auto"/>
        <w:jc w:val="both"/>
        <w:rPr>
          <w:color w:val="000000" w:themeColor="text1"/>
        </w:rPr>
      </w:pPr>
      <w:r w:rsidRPr="00EF1A45">
        <w:rPr>
          <w:color w:val="000000" w:themeColor="text1"/>
        </w:rPr>
        <w:t xml:space="preserve">Stanziamento complessivo di </w:t>
      </w:r>
      <w:r w:rsidRPr="00EF1A45">
        <w:rPr>
          <w:b/>
          <w:color w:val="000000" w:themeColor="text1"/>
        </w:rPr>
        <w:t>60mila euro</w:t>
      </w:r>
      <w:r w:rsidRPr="00EF1A45">
        <w:rPr>
          <w:color w:val="000000" w:themeColor="text1"/>
        </w:rPr>
        <w:t xml:space="preserve"> per le </w:t>
      </w:r>
      <w:r w:rsidRPr="00EF1A45">
        <w:rPr>
          <w:b/>
          <w:color w:val="000000" w:themeColor="text1"/>
        </w:rPr>
        <w:t>11 progettazioni</w:t>
      </w:r>
      <w:r w:rsidRPr="00EF1A45">
        <w:rPr>
          <w:color w:val="000000" w:themeColor="text1"/>
        </w:rPr>
        <w:t xml:space="preserve"> che si propongono di qualificare la relazione educativa con una serie di attività, laboratori e incontri che puntano a coinvolgere attivamente soprattutto gli </w:t>
      </w:r>
      <w:r w:rsidRPr="00F82FCC">
        <w:rPr>
          <w:i/>
          <w:color w:val="000000" w:themeColor="text1"/>
        </w:rPr>
        <w:t>adolescenti</w:t>
      </w:r>
      <w:r w:rsidR="00F82FCC">
        <w:rPr>
          <w:color w:val="000000" w:themeColor="text1"/>
        </w:rPr>
        <w:t xml:space="preserve"> e i </w:t>
      </w:r>
      <w:r w:rsidR="00F82FCC" w:rsidRPr="00F82FCC">
        <w:rPr>
          <w:i/>
          <w:color w:val="000000" w:themeColor="text1"/>
        </w:rPr>
        <w:t>pre</w:t>
      </w:r>
      <w:r w:rsidRPr="00F82FCC">
        <w:rPr>
          <w:i/>
          <w:color w:val="000000" w:themeColor="text1"/>
        </w:rPr>
        <w:t>adolescenti</w:t>
      </w:r>
      <w:r w:rsidRPr="00EF1A45">
        <w:rPr>
          <w:color w:val="000000" w:themeColor="text1"/>
        </w:rPr>
        <w:t xml:space="preserve">, anche in condizioni di </w:t>
      </w:r>
      <w:r w:rsidRPr="00F82FCC">
        <w:rPr>
          <w:i/>
          <w:color w:val="000000" w:themeColor="text1"/>
        </w:rPr>
        <w:t>fragilità</w:t>
      </w:r>
      <w:r w:rsidRPr="00EF1A45">
        <w:rPr>
          <w:color w:val="000000" w:themeColor="text1"/>
        </w:rPr>
        <w:t xml:space="preserve">, che frequentano le parrocchie del territorio, e a rafforzare i </w:t>
      </w:r>
      <w:r w:rsidRPr="00F82FCC">
        <w:rPr>
          <w:i/>
          <w:color w:val="000000" w:themeColor="text1"/>
        </w:rPr>
        <w:t>legami</w:t>
      </w:r>
      <w:r w:rsidRPr="00EF1A45">
        <w:rPr>
          <w:color w:val="000000" w:themeColor="text1"/>
        </w:rPr>
        <w:t xml:space="preserve"> con la comunità. Alcuni dei progetti selezionati riguardato proposte di </w:t>
      </w:r>
      <w:r w:rsidRPr="00F82FCC">
        <w:rPr>
          <w:i/>
          <w:color w:val="000000" w:themeColor="text1"/>
        </w:rPr>
        <w:t>oratori estivi</w:t>
      </w:r>
      <w:r w:rsidRPr="00EF1A45">
        <w:rPr>
          <w:color w:val="000000" w:themeColor="text1"/>
        </w:rPr>
        <w:t xml:space="preserve">, mentre altri sono strutturati lungo tutto l’anno. Attenzione poi alle </w:t>
      </w:r>
      <w:r w:rsidRPr="00F82FCC">
        <w:rPr>
          <w:i/>
          <w:color w:val="000000" w:themeColor="text1"/>
        </w:rPr>
        <w:t>famiglie</w:t>
      </w:r>
      <w:r w:rsidRPr="00EF1A45">
        <w:rPr>
          <w:color w:val="000000" w:themeColor="text1"/>
        </w:rPr>
        <w:t xml:space="preserve">, per cui sono previsti momenti di incontro, partecipazione e supporto, e agli </w:t>
      </w:r>
      <w:r w:rsidRPr="00F82FCC">
        <w:rPr>
          <w:i/>
          <w:color w:val="000000" w:themeColor="text1"/>
        </w:rPr>
        <w:t>educatori</w:t>
      </w:r>
      <w:r w:rsidRPr="00EF1A45">
        <w:rPr>
          <w:color w:val="000000" w:themeColor="text1"/>
        </w:rPr>
        <w:t xml:space="preserve">, per i quali prenderanno il via attività di formazione. Il bando è stato realizzato in partnership con </w:t>
      </w:r>
      <w:r w:rsidRPr="00F82FCC">
        <w:rPr>
          <w:b/>
          <w:color w:val="000000" w:themeColor="text1"/>
        </w:rPr>
        <w:t xml:space="preserve">Fondazione </w:t>
      </w:r>
      <w:proofErr w:type="spellStart"/>
      <w:r w:rsidRPr="00F82FCC">
        <w:rPr>
          <w:b/>
          <w:color w:val="000000" w:themeColor="text1"/>
        </w:rPr>
        <w:t>Lambriana</w:t>
      </w:r>
      <w:proofErr w:type="spellEnd"/>
      <w:r w:rsidRPr="00EF1A45">
        <w:rPr>
          <w:color w:val="000000" w:themeColor="text1"/>
        </w:rPr>
        <w:t xml:space="preserve">. </w:t>
      </w:r>
      <w:hyperlink r:id="rId10" w:history="1">
        <w:r w:rsidRPr="00EF1A45">
          <w:rPr>
            <w:rStyle w:val="Collegamentoipertestuale"/>
            <w:color w:val="000000" w:themeColor="text1"/>
          </w:rPr>
          <w:t>Vai ai progetti</w:t>
        </w:r>
      </w:hyperlink>
      <w:r w:rsidRPr="00EF1A45">
        <w:rPr>
          <w:color w:val="000000" w:themeColor="text1"/>
        </w:rPr>
        <w:t>.</w:t>
      </w:r>
    </w:p>
    <w:p w:rsidR="00317013" w:rsidRPr="00EF1A45" w:rsidRDefault="00326BEB" w:rsidP="00704C07">
      <w:pPr>
        <w:spacing w:line="240" w:lineRule="auto"/>
        <w:jc w:val="both"/>
        <w:rPr>
          <w:b/>
          <w:color w:val="000000" w:themeColor="text1"/>
        </w:rPr>
      </w:pPr>
      <w:hyperlink r:id="rId11" w:history="1">
        <w:r w:rsidR="00317013" w:rsidRPr="00EF1A45">
          <w:rPr>
            <w:rStyle w:val="Collegamentoipertestuale"/>
            <w:b/>
            <w:color w:val="000000" w:themeColor="text1"/>
          </w:rPr>
          <w:t>BANDO 2024.5 | GIOVANI GENERAZIONI</w:t>
        </w:r>
      </w:hyperlink>
    </w:p>
    <w:p w:rsidR="00F805DE" w:rsidRPr="00EF1A45" w:rsidRDefault="00F805DE" w:rsidP="00704C07">
      <w:pPr>
        <w:spacing w:line="240" w:lineRule="auto"/>
        <w:jc w:val="both"/>
        <w:rPr>
          <w:color w:val="000000" w:themeColor="text1"/>
        </w:rPr>
      </w:pPr>
      <w:r w:rsidRPr="00EF1A45">
        <w:rPr>
          <w:color w:val="000000" w:themeColor="text1"/>
        </w:rPr>
        <w:t xml:space="preserve">Offrire </w:t>
      </w:r>
      <w:r w:rsidRPr="00F82FCC">
        <w:rPr>
          <w:color w:val="000000" w:themeColor="text1"/>
        </w:rPr>
        <w:t>opportunità</w:t>
      </w:r>
      <w:r w:rsidRPr="00EF1A45">
        <w:rPr>
          <w:color w:val="000000" w:themeColor="text1"/>
        </w:rPr>
        <w:t xml:space="preserve"> di </w:t>
      </w:r>
      <w:r w:rsidRPr="00F82FCC">
        <w:rPr>
          <w:i/>
          <w:color w:val="000000" w:themeColor="text1"/>
        </w:rPr>
        <w:t>crescita</w:t>
      </w:r>
      <w:r w:rsidRPr="00EF1A45">
        <w:rPr>
          <w:color w:val="000000" w:themeColor="text1"/>
        </w:rPr>
        <w:t xml:space="preserve">, di sviluppo della </w:t>
      </w:r>
      <w:r w:rsidRPr="00F82FCC">
        <w:rPr>
          <w:i/>
          <w:color w:val="000000" w:themeColor="text1"/>
        </w:rPr>
        <w:t>socialità</w:t>
      </w:r>
      <w:r w:rsidRPr="00EF1A45">
        <w:rPr>
          <w:color w:val="000000" w:themeColor="text1"/>
        </w:rPr>
        <w:t xml:space="preserve"> e di piena </w:t>
      </w:r>
      <w:r w:rsidRPr="00F82FCC">
        <w:rPr>
          <w:i/>
          <w:color w:val="000000" w:themeColor="text1"/>
        </w:rPr>
        <w:t>espressione</w:t>
      </w:r>
      <w:r w:rsidRPr="00EF1A45">
        <w:rPr>
          <w:color w:val="000000" w:themeColor="text1"/>
        </w:rPr>
        <w:t xml:space="preserve"> delle proprie </w:t>
      </w:r>
      <w:r w:rsidRPr="00F82FCC">
        <w:rPr>
          <w:i/>
          <w:color w:val="000000" w:themeColor="text1"/>
        </w:rPr>
        <w:t>potenzialità</w:t>
      </w:r>
      <w:r w:rsidRPr="00EF1A45">
        <w:rPr>
          <w:color w:val="000000" w:themeColor="text1"/>
        </w:rPr>
        <w:t xml:space="preserve">, con attenzione particolare alla promozione del </w:t>
      </w:r>
      <w:r w:rsidRPr="00F82FCC">
        <w:rPr>
          <w:i/>
          <w:color w:val="000000" w:themeColor="text1"/>
        </w:rPr>
        <w:t>benessere</w:t>
      </w:r>
      <w:r w:rsidRPr="00EF1A45">
        <w:rPr>
          <w:color w:val="000000" w:themeColor="text1"/>
        </w:rPr>
        <w:t xml:space="preserve"> e della </w:t>
      </w:r>
      <w:r w:rsidRPr="00F82FCC">
        <w:rPr>
          <w:i/>
          <w:color w:val="000000" w:themeColor="text1"/>
        </w:rPr>
        <w:t>salute mentale</w:t>
      </w:r>
      <w:r w:rsidRPr="00EF1A45">
        <w:rPr>
          <w:color w:val="000000" w:themeColor="text1"/>
        </w:rPr>
        <w:t xml:space="preserve">, del supporto allo </w:t>
      </w:r>
      <w:r w:rsidRPr="00F82FCC">
        <w:rPr>
          <w:i/>
          <w:color w:val="000000" w:themeColor="text1"/>
        </w:rPr>
        <w:t>studio</w:t>
      </w:r>
      <w:r w:rsidRPr="00EF1A45">
        <w:rPr>
          <w:color w:val="000000" w:themeColor="text1"/>
        </w:rPr>
        <w:t xml:space="preserve"> per il contrasto alla dispersione scolastica e all’</w:t>
      </w:r>
      <w:r w:rsidRPr="00F82FCC">
        <w:rPr>
          <w:i/>
          <w:color w:val="000000" w:themeColor="text1"/>
        </w:rPr>
        <w:t>orientamento</w:t>
      </w:r>
      <w:r w:rsidRPr="00EF1A45">
        <w:rPr>
          <w:color w:val="000000" w:themeColor="text1"/>
        </w:rPr>
        <w:t xml:space="preserve">: sono questi alcuni degli obiettivi che i </w:t>
      </w:r>
      <w:r w:rsidRPr="00EF1A45">
        <w:rPr>
          <w:b/>
          <w:color w:val="000000" w:themeColor="text1"/>
        </w:rPr>
        <w:t>18 nuovi progetti</w:t>
      </w:r>
      <w:r w:rsidRPr="00EF1A45">
        <w:rPr>
          <w:color w:val="000000" w:themeColor="text1"/>
        </w:rPr>
        <w:t xml:space="preserve">, per cui Fondazione ha stanziato un contributo di </w:t>
      </w:r>
      <w:r w:rsidRPr="00EF1A45">
        <w:rPr>
          <w:b/>
          <w:color w:val="000000" w:themeColor="text1"/>
        </w:rPr>
        <w:t>154mila euro</w:t>
      </w:r>
      <w:r w:rsidRPr="00EF1A45">
        <w:rPr>
          <w:color w:val="000000" w:themeColor="text1"/>
        </w:rPr>
        <w:t xml:space="preserve">, si propongono di raggiungere. </w:t>
      </w:r>
      <w:hyperlink r:id="rId12" w:history="1">
        <w:r w:rsidRPr="00EF1A45">
          <w:rPr>
            <w:rStyle w:val="Collegamentoipertestuale"/>
            <w:color w:val="000000" w:themeColor="text1"/>
          </w:rPr>
          <w:t>Vai ai progetti.</w:t>
        </w:r>
      </w:hyperlink>
    </w:p>
    <w:p w:rsidR="00317013" w:rsidRPr="00704C07" w:rsidRDefault="00704C07" w:rsidP="00704C07">
      <w:pPr>
        <w:spacing w:line="240" w:lineRule="auto"/>
        <w:jc w:val="both"/>
        <w:rPr>
          <w:rStyle w:val="Collegamentoipertestuale"/>
          <w:b/>
          <w:color w:val="auto"/>
        </w:rPr>
      </w:pPr>
      <w:r w:rsidRPr="00704C07">
        <w:rPr>
          <w:b/>
        </w:rPr>
        <w:fldChar w:fldCharType="begin"/>
      </w:r>
      <w:r w:rsidRPr="00704C07">
        <w:rPr>
          <w:b/>
        </w:rPr>
        <w:instrText xml:space="preserve"> HYPERLINK "https://www.fondazionemonzabrianza.org/news/bando-2024-6-cultura-per-tutti-gli-esiti/" </w:instrText>
      </w:r>
      <w:r w:rsidRPr="00704C07">
        <w:rPr>
          <w:b/>
        </w:rPr>
        <w:fldChar w:fldCharType="separate"/>
      </w:r>
      <w:r w:rsidR="00317013" w:rsidRPr="00704C07">
        <w:rPr>
          <w:rStyle w:val="Collegamentoipertestuale"/>
          <w:b/>
          <w:color w:val="auto"/>
        </w:rPr>
        <w:t>BANDO 2024.6 | CULTURA PER TUTTI</w:t>
      </w:r>
    </w:p>
    <w:p w:rsidR="00EF1A45" w:rsidRPr="00EF1A45" w:rsidRDefault="00704C07" w:rsidP="00704C07">
      <w:pPr>
        <w:spacing w:line="240" w:lineRule="auto"/>
        <w:jc w:val="both"/>
        <w:rPr>
          <w:color w:val="000000" w:themeColor="text1"/>
        </w:rPr>
      </w:pPr>
      <w:r w:rsidRPr="00704C07">
        <w:rPr>
          <w:b/>
        </w:rPr>
        <w:fldChar w:fldCharType="end"/>
      </w:r>
      <w:r w:rsidR="00F82FCC">
        <w:rPr>
          <w:color w:val="000000" w:themeColor="text1"/>
        </w:rPr>
        <w:t xml:space="preserve">Promuovere con modalità innovative e creative la </w:t>
      </w:r>
      <w:r w:rsidR="00F82FCC" w:rsidRPr="00405BD7">
        <w:rPr>
          <w:i/>
          <w:color w:val="000000" w:themeColor="text1"/>
        </w:rPr>
        <w:t>riflessione</w:t>
      </w:r>
      <w:r w:rsidR="00F82FCC">
        <w:rPr>
          <w:color w:val="000000" w:themeColor="text1"/>
        </w:rPr>
        <w:t xml:space="preserve"> su </w:t>
      </w:r>
      <w:r w:rsidR="00F82FCC" w:rsidRPr="00405BD7">
        <w:rPr>
          <w:i/>
          <w:color w:val="000000" w:themeColor="text1"/>
        </w:rPr>
        <w:t>tematiche sociali</w:t>
      </w:r>
      <w:r w:rsidR="00F82FCC">
        <w:rPr>
          <w:color w:val="000000" w:themeColor="text1"/>
        </w:rPr>
        <w:t xml:space="preserve">, realizzare iniziative inclusive per </w:t>
      </w:r>
      <w:r w:rsidR="00F82FCC" w:rsidRPr="00405BD7">
        <w:rPr>
          <w:i/>
          <w:color w:val="000000" w:themeColor="text1"/>
        </w:rPr>
        <w:t>contrastare</w:t>
      </w:r>
      <w:r w:rsidR="00F82FCC">
        <w:rPr>
          <w:color w:val="000000" w:themeColor="text1"/>
        </w:rPr>
        <w:t xml:space="preserve"> </w:t>
      </w:r>
      <w:r w:rsidR="00F82FCC" w:rsidRPr="00405BD7">
        <w:rPr>
          <w:i/>
          <w:color w:val="000000" w:themeColor="text1"/>
        </w:rPr>
        <w:t>pregiudizi</w:t>
      </w:r>
      <w:r w:rsidR="00F82FCC">
        <w:rPr>
          <w:color w:val="000000" w:themeColor="text1"/>
        </w:rPr>
        <w:t xml:space="preserve"> e </w:t>
      </w:r>
      <w:r w:rsidR="00F82FCC" w:rsidRPr="00405BD7">
        <w:rPr>
          <w:i/>
          <w:color w:val="000000" w:themeColor="text1"/>
        </w:rPr>
        <w:t>discriminazioni</w:t>
      </w:r>
      <w:r w:rsidR="00F82FCC">
        <w:rPr>
          <w:color w:val="000000" w:themeColor="text1"/>
        </w:rPr>
        <w:t>, s</w:t>
      </w:r>
      <w:r w:rsidR="00EF1A45" w:rsidRPr="00EF1A45">
        <w:rPr>
          <w:color w:val="000000" w:themeColor="text1"/>
        </w:rPr>
        <w:t xml:space="preserve">ostenere la </w:t>
      </w:r>
      <w:r w:rsidR="00EF1A45" w:rsidRPr="00405BD7">
        <w:rPr>
          <w:i/>
          <w:color w:val="000000" w:themeColor="text1"/>
        </w:rPr>
        <w:t>promozione</w:t>
      </w:r>
      <w:r w:rsidR="00EF1A45" w:rsidRPr="00EF1A45">
        <w:rPr>
          <w:color w:val="000000" w:themeColor="text1"/>
        </w:rPr>
        <w:t xml:space="preserve"> della </w:t>
      </w:r>
      <w:r w:rsidR="00EF1A45" w:rsidRPr="00405BD7">
        <w:rPr>
          <w:i/>
          <w:color w:val="000000" w:themeColor="text1"/>
        </w:rPr>
        <w:t>cultura</w:t>
      </w:r>
      <w:r w:rsidR="00EF1A45" w:rsidRPr="00EF1A45">
        <w:rPr>
          <w:color w:val="000000" w:themeColor="text1"/>
        </w:rPr>
        <w:t xml:space="preserve"> e dell’</w:t>
      </w:r>
      <w:r w:rsidR="00EF1A45" w:rsidRPr="00405BD7">
        <w:rPr>
          <w:i/>
          <w:color w:val="000000" w:themeColor="text1"/>
        </w:rPr>
        <w:t>arte</w:t>
      </w:r>
      <w:r w:rsidR="00EF1A45" w:rsidRPr="00EF1A45">
        <w:rPr>
          <w:color w:val="000000" w:themeColor="text1"/>
        </w:rPr>
        <w:t xml:space="preserve"> attraverso attività c</w:t>
      </w:r>
      <w:r w:rsidR="00F82FCC">
        <w:rPr>
          <w:color w:val="000000" w:themeColor="text1"/>
        </w:rPr>
        <w:t>oncrete di interesse collettivo. E, ancora:</w:t>
      </w:r>
      <w:r w:rsidR="00EF1A45" w:rsidRPr="00EF1A45">
        <w:rPr>
          <w:color w:val="000000" w:themeColor="text1"/>
        </w:rPr>
        <w:t xml:space="preserve"> </w:t>
      </w:r>
      <w:r w:rsidR="00EF1A45" w:rsidRPr="00405BD7">
        <w:rPr>
          <w:i/>
          <w:color w:val="000000" w:themeColor="text1"/>
        </w:rPr>
        <w:t>valorizzare</w:t>
      </w:r>
      <w:r w:rsidR="00EF1A45" w:rsidRPr="00EF1A45">
        <w:rPr>
          <w:color w:val="000000" w:themeColor="text1"/>
        </w:rPr>
        <w:t xml:space="preserve"> </w:t>
      </w:r>
      <w:r w:rsidR="00EF1A45" w:rsidRPr="00405BD7">
        <w:rPr>
          <w:i/>
          <w:color w:val="000000" w:themeColor="text1"/>
        </w:rPr>
        <w:t>luoghi</w:t>
      </w:r>
      <w:r w:rsidR="00EF1A45" w:rsidRPr="00EF1A45">
        <w:rPr>
          <w:color w:val="000000" w:themeColor="text1"/>
        </w:rPr>
        <w:t xml:space="preserve"> di comunità e beni di interesse storico</w:t>
      </w:r>
      <w:r w:rsidR="00F82FCC">
        <w:rPr>
          <w:color w:val="000000" w:themeColor="text1"/>
        </w:rPr>
        <w:t xml:space="preserve"> e artistico del territorio e </w:t>
      </w:r>
      <w:r w:rsidR="00EF1A45" w:rsidRPr="00EF1A45">
        <w:rPr>
          <w:color w:val="000000" w:themeColor="text1"/>
        </w:rPr>
        <w:t xml:space="preserve">stimolare la curiosità e il piacere di </w:t>
      </w:r>
      <w:r w:rsidR="00EF1A45" w:rsidRPr="00405BD7">
        <w:rPr>
          <w:i/>
          <w:color w:val="000000" w:themeColor="text1"/>
        </w:rPr>
        <w:t>leggere</w:t>
      </w:r>
      <w:r w:rsidR="00EF1A45" w:rsidRPr="00EF1A45">
        <w:rPr>
          <w:color w:val="000000" w:themeColor="text1"/>
        </w:rPr>
        <w:t xml:space="preserve">. Sono questi alcuni degli obiettivi del bando 2024.6 con cui la Fondazione ha selezionato </w:t>
      </w:r>
      <w:r w:rsidR="00EF1A45" w:rsidRPr="00EF1A45">
        <w:rPr>
          <w:b/>
          <w:color w:val="000000" w:themeColor="text1"/>
        </w:rPr>
        <w:t>22 progetti</w:t>
      </w:r>
      <w:r w:rsidR="00EF1A45" w:rsidRPr="00EF1A45">
        <w:rPr>
          <w:color w:val="000000" w:themeColor="text1"/>
        </w:rPr>
        <w:t>, con un</w:t>
      </w:r>
      <w:r w:rsidR="00EF1A45">
        <w:rPr>
          <w:color w:val="000000" w:themeColor="text1"/>
        </w:rPr>
        <w:t xml:space="preserve">o stanziamento complessivo di </w:t>
      </w:r>
      <w:r w:rsidR="00EF1A45" w:rsidRPr="00EF1A45">
        <w:rPr>
          <w:b/>
          <w:color w:val="000000" w:themeColor="text1"/>
        </w:rPr>
        <w:t>100mila euro</w:t>
      </w:r>
      <w:r w:rsidR="00EF1A45" w:rsidRPr="00EF1A45">
        <w:rPr>
          <w:color w:val="000000" w:themeColor="text1"/>
        </w:rPr>
        <w:t xml:space="preserve">: prenderanno il via, tra le tante attività, rassegne e festival musicali, visite guidate inclusive, pubblicazioni storiche e premi letterari. </w:t>
      </w:r>
      <w:hyperlink r:id="rId13" w:history="1">
        <w:r w:rsidR="00EF1A45" w:rsidRPr="00EF1A45">
          <w:rPr>
            <w:rStyle w:val="Collegamentoipertestuale"/>
            <w:color w:val="000000" w:themeColor="text1"/>
          </w:rPr>
          <w:t>Vai ai progetti</w:t>
        </w:r>
      </w:hyperlink>
      <w:r w:rsidR="00EF1A45" w:rsidRPr="00EF1A45">
        <w:rPr>
          <w:color w:val="000000" w:themeColor="text1"/>
        </w:rPr>
        <w:t>.</w:t>
      </w:r>
    </w:p>
    <w:p w:rsidR="005010B9" w:rsidRPr="005010B9" w:rsidRDefault="00F82FCC" w:rsidP="005010B9">
      <w:pPr>
        <w:spacing w:line="240" w:lineRule="auto"/>
        <w:rPr>
          <w:rFonts w:cstheme="minorHAnsi"/>
          <w:b/>
        </w:rPr>
      </w:pPr>
      <w:r w:rsidRPr="005010B9">
        <w:rPr>
          <w:rFonts w:cstheme="minorHAnsi"/>
          <w:b/>
          <w:u w:val="single"/>
        </w:rPr>
        <w:t>COME CONTRIBUIRE ALLA REALIZZAZIONE DEI PROGETTI SELEZIONATI</w:t>
      </w:r>
      <w:r w:rsidRPr="005010B9">
        <w:rPr>
          <w:rFonts w:cstheme="minorHAnsi"/>
          <w:b/>
        </w:rPr>
        <w:br/>
      </w:r>
      <w:r w:rsidRPr="005010B9">
        <w:rPr>
          <w:rFonts w:cstheme="minorHAnsi"/>
        </w:rPr>
        <w:t xml:space="preserve">Tutti - cittadini, imprese, amministrazioni pubbliche, enti privati - possono sostenere i progetti selezionati con una donazione. </w:t>
      </w:r>
      <w:r w:rsidR="00704C07" w:rsidRPr="005010B9">
        <w:rPr>
          <w:rFonts w:cstheme="minorHAnsi"/>
        </w:rPr>
        <w:t xml:space="preserve">È possibile effettuare un </w:t>
      </w:r>
      <w:r w:rsidR="00704C07" w:rsidRPr="005010B9">
        <w:rPr>
          <w:rFonts w:cstheme="minorHAnsi"/>
          <w:b/>
        </w:rPr>
        <w:t>bonifico</w:t>
      </w:r>
      <w:r w:rsidR="00704C07" w:rsidRPr="005010B9">
        <w:rPr>
          <w:rFonts w:cstheme="minorHAnsi"/>
        </w:rPr>
        <w:t xml:space="preserve"> intestato a </w:t>
      </w:r>
      <w:r w:rsidRPr="005010B9">
        <w:rPr>
          <w:rFonts w:cstheme="minorHAnsi"/>
        </w:rPr>
        <w:t>Fondazione del</w:t>
      </w:r>
      <w:r w:rsidR="00704C07" w:rsidRPr="005010B9">
        <w:rPr>
          <w:rFonts w:cstheme="minorHAnsi"/>
        </w:rPr>
        <w:t xml:space="preserve">la Comunità di Monza e Brianza </w:t>
      </w:r>
      <w:proofErr w:type="spellStart"/>
      <w:r w:rsidR="00704C07" w:rsidRPr="005010B9">
        <w:rPr>
          <w:rFonts w:cstheme="minorHAnsi"/>
        </w:rPr>
        <w:t>o</w:t>
      </w:r>
      <w:r w:rsidRPr="005010B9">
        <w:rPr>
          <w:rFonts w:cstheme="minorHAnsi"/>
        </w:rPr>
        <w:t>nlus</w:t>
      </w:r>
      <w:proofErr w:type="spellEnd"/>
      <w:r w:rsidR="00704C07" w:rsidRPr="005010B9">
        <w:rPr>
          <w:rFonts w:cstheme="minorHAnsi"/>
        </w:rPr>
        <w:t xml:space="preserve"> con Iban </w:t>
      </w:r>
      <w:r w:rsidRPr="005010B9">
        <w:rPr>
          <w:rFonts w:cstheme="minorHAnsi"/>
        </w:rPr>
        <w:t>IT03 Q050 3420 4080 0000 0029 299</w:t>
      </w:r>
      <w:r w:rsidR="00704C07" w:rsidRPr="005010B9">
        <w:rPr>
          <w:rFonts w:cstheme="minorHAnsi"/>
        </w:rPr>
        <w:t xml:space="preserve"> e c</w:t>
      </w:r>
      <w:r w:rsidRPr="005010B9">
        <w:rPr>
          <w:rFonts w:cstheme="minorHAnsi"/>
        </w:rPr>
        <w:t>ausale: “titolo del progetto”</w:t>
      </w:r>
      <w:r w:rsidR="00704C07" w:rsidRPr="005010B9">
        <w:rPr>
          <w:rFonts w:cstheme="minorHAnsi"/>
        </w:rPr>
        <w:t xml:space="preserve">. </w:t>
      </w:r>
      <w:r w:rsidRPr="005010B9">
        <w:rPr>
          <w:rFonts w:cs="Tahoma"/>
          <w:bCs/>
        </w:rPr>
        <w:t xml:space="preserve">È anche possibile effettuare una </w:t>
      </w:r>
      <w:r w:rsidRPr="005010B9">
        <w:rPr>
          <w:rFonts w:cs="Tahoma"/>
          <w:b/>
          <w:bCs/>
        </w:rPr>
        <w:t>donazione online</w:t>
      </w:r>
      <w:r w:rsidRPr="005010B9">
        <w:rPr>
          <w:rFonts w:cs="Tahoma"/>
          <w:bCs/>
        </w:rPr>
        <w:t xml:space="preserve"> destinata ai singoli progetti: per ognuno sono presenti sul sito di Fondazione MB le schede dedicate alla raccolta fondi.</w:t>
      </w:r>
      <w:r w:rsidR="005010B9" w:rsidRPr="005010B9">
        <w:rPr>
          <w:rFonts w:cs="Tahoma"/>
          <w:bCs/>
        </w:rPr>
        <w:br/>
      </w:r>
      <w:r w:rsidR="005010B9">
        <w:rPr>
          <w:rFonts w:cstheme="minorHAnsi"/>
        </w:rPr>
        <w:br/>
      </w:r>
      <w:r w:rsidR="005010B9" w:rsidRPr="005010B9">
        <w:rPr>
          <w:rFonts w:cstheme="minorHAnsi"/>
          <w:b/>
        </w:rPr>
        <w:t>Per approfondimenti:</w:t>
      </w:r>
    </w:p>
    <w:p w:rsidR="005010B9" w:rsidRPr="005010B9" w:rsidRDefault="00326BEB" w:rsidP="005010B9">
      <w:pPr>
        <w:pStyle w:val="Paragrafoelenco"/>
        <w:numPr>
          <w:ilvl w:val="0"/>
          <w:numId w:val="4"/>
        </w:numPr>
        <w:spacing w:line="240" w:lineRule="auto"/>
        <w:rPr>
          <w:rFonts w:cstheme="minorHAnsi"/>
        </w:rPr>
      </w:pPr>
      <w:hyperlink r:id="rId14" w:history="1">
        <w:r w:rsidR="00704C07" w:rsidRPr="005010B9">
          <w:rPr>
            <w:rStyle w:val="Collegamentoipertestuale"/>
            <w:rFonts w:cs="Tahoma"/>
            <w:b/>
            <w:bCs/>
            <w:color w:val="auto"/>
          </w:rPr>
          <w:t>TUTTI I PROGETTI IN CORSO</w:t>
        </w:r>
      </w:hyperlink>
    </w:p>
    <w:p w:rsidR="00317013" w:rsidRPr="005010B9" w:rsidRDefault="00326BEB" w:rsidP="005010B9">
      <w:pPr>
        <w:pStyle w:val="Paragrafoelenco"/>
        <w:numPr>
          <w:ilvl w:val="0"/>
          <w:numId w:val="4"/>
        </w:numPr>
        <w:spacing w:line="240" w:lineRule="auto"/>
        <w:rPr>
          <w:rFonts w:cstheme="minorHAnsi"/>
        </w:rPr>
      </w:pPr>
      <w:hyperlink r:id="rId15" w:history="1">
        <w:r w:rsidR="00704C07" w:rsidRPr="005010B9">
          <w:rPr>
            <w:rStyle w:val="Collegamentoipertestuale"/>
            <w:rFonts w:cs="Tahoma"/>
            <w:b/>
            <w:bCs/>
            <w:color w:val="auto"/>
          </w:rPr>
          <w:t>TUTTE LE CAMPAGNE ATTIVE</w:t>
        </w:r>
      </w:hyperlink>
    </w:p>
    <w:p w:rsidR="005010B9" w:rsidRPr="005010B9" w:rsidRDefault="00326BEB" w:rsidP="005010B9">
      <w:pPr>
        <w:pStyle w:val="Paragrafoelenco"/>
        <w:numPr>
          <w:ilvl w:val="0"/>
          <w:numId w:val="4"/>
        </w:numPr>
        <w:spacing w:line="240" w:lineRule="auto"/>
        <w:rPr>
          <w:rFonts w:cstheme="minorHAnsi"/>
          <w:b/>
        </w:rPr>
      </w:pPr>
      <w:hyperlink r:id="rId16" w:history="1">
        <w:r w:rsidR="005010B9" w:rsidRPr="005010B9">
          <w:rPr>
            <w:rStyle w:val="Collegamentoipertestuale"/>
            <w:rFonts w:cstheme="minorHAnsi"/>
            <w:b/>
            <w:color w:val="auto"/>
          </w:rPr>
          <w:t>BANDI E LINEE DI FINANZIAMENTO</w:t>
        </w:r>
      </w:hyperlink>
    </w:p>
    <w:sectPr w:rsidR="005010B9" w:rsidRPr="005010B9">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EB" w:rsidRDefault="00326BEB" w:rsidP="00317013">
      <w:pPr>
        <w:spacing w:after="0" w:line="240" w:lineRule="auto"/>
      </w:pPr>
      <w:r>
        <w:separator/>
      </w:r>
    </w:p>
  </w:endnote>
  <w:endnote w:type="continuationSeparator" w:id="0">
    <w:p w:rsidR="00326BEB" w:rsidRDefault="00326BEB" w:rsidP="0031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C07" w:rsidRPr="00CE4122" w:rsidRDefault="00704C07" w:rsidP="00704C07">
    <w:pPr>
      <w:spacing w:after="0" w:line="240" w:lineRule="auto"/>
      <w:jc w:val="both"/>
      <w:rPr>
        <w:rFonts w:cs="Tahoma"/>
        <w:b/>
        <w:bCs/>
        <w:sz w:val="28"/>
        <w:szCs w:val="28"/>
      </w:rPr>
    </w:pPr>
    <w:r w:rsidRPr="00473CD0">
      <w:rPr>
        <w:rFonts w:cs="Tahoma"/>
        <w:b/>
        <w:bCs/>
        <w:sz w:val="16"/>
        <w:szCs w:val="16"/>
        <w:u w:val="single"/>
      </w:rPr>
      <w:t>Per informazioni:</w:t>
    </w:r>
  </w:p>
  <w:p w:rsidR="00704C07" w:rsidRPr="00473CD0" w:rsidRDefault="00704C07" w:rsidP="00704C07">
    <w:pPr>
      <w:spacing w:after="0" w:line="240" w:lineRule="auto"/>
      <w:outlineLvl w:val="0"/>
      <w:rPr>
        <w:rFonts w:cs="Tahoma"/>
        <w:bCs/>
        <w:sz w:val="16"/>
        <w:szCs w:val="16"/>
      </w:rPr>
    </w:pPr>
    <w:r w:rsidRPr="00473CD0">
      <w:rPr>
        <w:rFonts w:cs="Tahoma"/>
        <w:bCs/>
        <w:sz w:val="16"/>
        <w:szCs w:val="16"/>
      </w:rPr>
      <w:t>Federica Fenaroli | Fondazione della Comunità di Monza e Brianza Onlus</w:t>
    </w:r>
  </w:p>
  <w:p w:rsidR="00704C07" w:rsidRPr="00473CD0" w:rsidRDefault="00704C07" w:rsidP="00704C07">
    <w:pPr>
      <w:spacing w:after="0" w:line="240" w:lineRule="auto"/>
      <w:outlineLvl w:val="0"/>
      <w:rPr>
        <w:rFonts w:cs="Tahoma"/>
        <w:bCs/>
        <w:sz w:val="16"/>
        <w:szCs w:val="16"/>
      </w:rPr>
    </w:pPr>
    <w:r w:rsidRPr="00473CD0">
      <w:rPr>
        <w:rFonts w:cs="Tahoma"/>
        <w:bCs/>
        <w:sz w:val="16"/>
        <w:szCs w:val="16"/>
      </w:rPr>
      <w:t>Via Gerard</w:t>
    </w:r>
    <w:r>
      <w:rPr>
        <w:rFonts w:cs="Tahoma"/>
        <w:bCs/>
        <w:sz w:val="16"/>
        <w:szCs w:val="16"/>
      </w:rPr>
      <w:t xml:space="preserve">o dei Tintori, 18 - Monza | 039 </w:t>
    </w:r>
    <w:r w:rsidRPr="00473CD0">
      <w:rPr>
        <w:rFonts w:cs="Tahoma"/>
        <w:bCs/>
        <w:sz w:val="16"/>
        <w:szCs w:val="16"/>
      </w:rPr>
      <w:t>3900</w:t>
    </w:r>
    <w:r>
      <w:rPr>
        <w:rFonts w:cs="Tahoma"/>
        <w:bCs/>
        <w:sz w:val="16"/>
        <w:szCs w:val="16"/>
      </w:rPr>
      <w:t xml:space="preserve"> </w:t>
    </w:r>
    <w:r w:rsidRPr="00473CD0">
      <w:rPr>
        <w:rFonts w:cs="Tahoma"/>
        <w:bCs/>
        <w:sz w:val="16"/>
        <w:szCs w:val="16"/>
      </w:rPr>
      <w:t>942</w:t>
    </w:r>
    <w:r>
      <w:rPr>
        <w:rFonts w:cs="Tahoma"/>
        <w:bCs/>
        <w:sz w:val="16"/>
        <w:szCs w:val="16"/>
      </w:rPr>
      <w:t xml:space="preserve"> | 339 1962430</w:t>
    </w:r>
  </w:p>
  <w:p w:rsidR="00704C07" w:rsidRDefault="00326BEB" w:rsidP="00704C07">
    <w:pPr>
      <w:pStyle w:val="Pidipagina"/>
    </w:pPr>
    <w:hyperlink r:id="rId1" w:history="1">
      <w:r w:rsidR="00704C07" w:rsidRPr="00473CD0">
        <w:rPr>
          <w:rStyle w:val="Collegamentoipertestuale"/>
          <w:rFonts w:cs="Tahoma"/>
          <w:color w:val="000000" w:themeColor="text1"/>
          <w:sz w:val="16"/>
          <w:szCs w:val="16"/>
        </w:rPr>
        <w:t>info@fondazionemonzabrianza.org</w:t>
      </w:r>
    </w:hyperlink>
    <w:r w:rsidR="00704C07" w:rsidRPr="00473CD0">
      <w:rPr>
        <w:rFonts w:cs="Tahoma"/>
        <w:bCs/>
        <w:color w:val="000000" w:themeColor="text1"/>
        <w:sz w:val="16"/>
        <w:szCs w:val="16"/>
      </w:rPr>
      <w:t xml:space="preserve"> - </w:t>
    </w:r>
    <w:hyperlink r:id="rId2" w:history="1">
      <w:r w:rsidR="00704C07" w:rsidRPr="00473CD0">
        <w:rPr>
          <w:rStyle w:val="Collegamentoipertestuale"/>
          <w:rFonts w:cs="Tahoma"/>
          <w:color w:val="000000" w:themeColor="text1"/>
          <w:sz w:val="16"/>
          <w:szCs w:val="16"/>
        </w:rPr>
        <w:t>www.fondazionemonzabrianza.org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EB" w:rsidRDefault="00326BEB" w:rsidP="00317013">
      <w:pPr>
        <w:spacing w:after="0" w:line="240" w:lineRule="auto"/>
      </w:pPr>
      <w:r>
        <w:separator/>
      </w:r>
    </w:p>
  </w:footnote>
  <w:footnote w:type="continuationSeparator" w:id="0">
    <w:p w:rsidR="00326BEB" w:rsidRDefault="00326BEB" w:rsidP="00317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13" w:rsidRDefault="00317013" w:rsidP="00317013">
    <w:pPr>
      <w:pStyle w:val="Intestazione"/>
      <w:jc w:val="center"/>
    </w:pPr>
    <w:r>
      <w:rPr>
        <w:noProof/>
        <w:lang w:eastAsia="it-IT"/>
      </w:rPr>
      <w:drawing>
        <wp:inline distT="0" distB="0" distL="0" distR="0" wp14:anchorId="530A5205" wp14:editId="4DF964A1">
          <wp:extent cx="1019175" cy="101917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49D7"/>
    <w:multiLevelType w:val="hybridMultilevel"/>
    <w:tmpl w:val="F1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3E320B"/>
    <w:multiLevelType w:val="hybridMultilevel"/>
    <w:tmpl w:val="3BD02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8C0D10"/>
    <w:multiLevelType w:val="hybridMultilevel"/>
    <w:tmpl w:val="C4A22F92"/>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15:restartNumberingAfterBreak="0">
    <w:nsid w:val="650825F1"/>
    <w:multiLevelType w:val="hybridMultilevel"/>
    <w:tmpl w:val="8CBC8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13"/>
    <w:rsid w:val="001111DF"/>
    <w:rsid w:val="00142F46"/>
    <w:rsid w:val="001456C4"/>
    <w:rsid w:val="001E29C5"/>
    <w:rsid w:val="00317013"/>
    <w:rsid w:val="00326BEB"/>
    <w:rsid w:val="003C1105"/>
    <w:rsid w:val="00405BD7"/>
    <w:rsid w:val="004A6449"/>
    <w:rsid w:val="005010B9"/>
    <w:rsid w:val="00704C07"/>
    <w:rsid w:val="00AA3EBA"/>
    <w:rsid w:val="00CA6E96"/>
    <w:rsid w:val="00DC05C1"/>
    <w:rsid w:val="00E53BC2"/>
    <w:rsid w:val="00EF1A45"/>
    <w:rsid w:val="00F805DE"/>
    <w:rsid w:val="00F82FCC"/>
    <w:rsid w:val="00FD3D9E"/>
    <w:rsid w:val="00FE5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E7F8"/>
  <w15:chartTrackingRefBased/>
  <w15:docId w15:val="{E9B2579F-FD8C-48BB-A6BB-39A0DFDC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0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7013"/>
  </w:style>
  <w:style w:type="paragraph" w:styleId="Pidipagina">
    <w:name w:val="footer"/>
    <w:basedOn w:val="Normale"/>
    <w:link w:val="PidipaginaCarattere"/>
    <w:uiPriority w:val="99"/>
    <w:unhideWhenUsed/>
    <w:rsid w:val="003170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7013"/>
  </w:style>
  <w:style w:type="character" w:styleId="Collegamentoipertestuale">
    <w:name w:val="Hyperlink"/>
    <w:basedOn w:val="Carpredefinitoparagrafo"/>
    <w:uiPriority w:val="99"/>
    <w:unhideWhenUsed/>
    <w:rsid w:val="00F805DE"/>
    <w:rPr>
      <w:color w:val="0563C1" w:themeColor="hyperlink"/>
      <w:u w:val="single"/>
    </w:rPr>
  </w:style>
  <w:style w:type="paragraph" w:styleId="Paragrafoelenco">
    <w:name w:val="List Paragraph"/>
    <w:basedOn w:val="Normale"/>
    <w:uiPriority w:val="34"/>
    <w:qFormat/>
    <w:rsid w:val="00704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monzabrianza.org/news/larco-ai-giovani-gli-esiti-del-bando-youth-bank-2024-1/" TargetMode="External"/><Relationship Id="rId13" Type="http://schemas.openxmlformats.org/officeDocument/2006/relationships/hyperlink" Target="https://www.fondazionemonzabrianza.org/news/bando-2024-6-cultura-per-tutti-gli-esit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ndazionemonzabrianza.org/news/larco-ai-giovani-gli-esiti-del-bando-youth-bank-2024-1/" TargetMode="External"/><Relationship Id="rId12" Type="http://schemas.openxmlformats.org/officeDocument/2006/relationships/hyperlink" Target="https://www.fondazionemonzabrianza.org/news/giovani-generazioni-gli-esiti-del-bando-2024-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ondazionemonzabrianza.org/band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ndazionemonzabrianza.org/news/giovani-generazioni-gli-esiti-del-bando-2024-5/" TargetMode="External"/><Relationship Id="rId5" Type="http://schemas.openxmlformats.org/officeDocument/2006/relationships/footnotes" Target="footnotes.xml"/><Relationship Id="rId15" Type="http://schemas.openxmlformats.org/officeDocument/2006/relationships/hyperlink" Target="https://www.fondazionemonzabrianza.org/campagne-attive/" TargetMode="External"/><Relationship Id="rId10" Type="http://schemas.openxmlformats.org/officeDocument/2006/relationships/hyperlink" Target="https://www.fondazionemonzabrianza.org/news/educare-con-gli-oratori-gli-esiti-del-bando-2024-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ndazionemonzabrianza.org/news/educare-con-gli-oratori-gli-esiti-del-bando-2024-2/" TargetMode="External"/><Relationship Id="rId14" Type="http://schemas.openxmlformats.org/officeDocument/2006/relationships/hyperlink" Target="https://www.fondazionemonzabrianza.org/progett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ondazionemonzabrianza.org" TargetMode="External"/><Relationship Id="rId1" Type="http://schemas.openxmlformats.org/officeDocument/2006/relationships/hyperlink" Target="mailto:info@fondazionemonzabrianz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1162</Words>
  <Characters>6629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2024-06-25T10:45:00Z</dcterms:created>
  <dcterms:modified xsi:type="dcterms:W3CDTF">2024-06-27T13:42:00Z</dcterms:modified>
</cp:coreProperties>
</file>